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413305D" w:rsidR="00933CD0" w:rsidRDefault="00D204C1">
      <w:pPr>
        <w:rPr>
          <w:rFonts w:ascii="Century Gothic" w:hAnsi="Century Gothic" w:cs="Clother Black"/>
          <w:b/>
          <w:bCs/>
          <w:sz w:val="32"/>
          <w:szCs w:val="32"/>
        </w:rPr>
      </w:pPr>
      <w:bookmarkStart w:id="0" w:name="_Hlk75431152"/>
      <w:r>
        <w:rPr>
          <w:rFonts w:ascii="Century Gothic" w:hAnsi="Century Gothic"/>
          <w:b/>
          <w:sz w:val="32"/>
        </w:rPr>
        <w:t xml:space="preserve">Innovativa material och design används för första gången på Europas första särskilda året-runt-däck för elbilar: Vredestein Quatrac Pro EV </w:t>
      </w:r>
    </w:p>
    <w:p w14:paraId="4D12EA08" w14:textId="77777777" w:rsidR="00B710B7" w:rsidRDefault="00B710B7">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66F6170B" w14:textId="133F9385" w:rsidR="00CD3861" w:rsidRDefault="00AD415F" w:rsidP="00193BFC">
      <w:pPr>
        <w:rPr>
          <w:rFonts w:ascii="Century Gothic" w:hAnsi="Century Gothic" w:cs="Clother Light"/>
          <w:sz w:val="20"/>
          <w:szCs w:val="20"/>
        </w:rPr>
      </w:pPr>
      <w:r w:rsidRPr="00AD415F">
        <w:rPr>
          <w:rFonts w:ascii="Century Gothic" w:hAnsi="Century Gothic"/>
          <w:b/>
          <w:sz w:val="20"/>
        </w:rPr>
        <w:t>2 November 2022</w:t>
      </w:r>
      <w:r w:rsidR="00DE239B" w:rsidRPr="00AD415F">
        <w:rPr>
          <w:rFonts w:ascii="Century Gothic" w:hAnsi="Century Gothic"/>
          <w:b/>
          <w:sz w:val="20"/>
        </w:rPr>
        <w:t xml:space="preserve"> </w:t>
      </w:r>
      <w:r w:rsidR="00DE239B">
        <w:rPr>
          <w:rFonts w:ascii="Century Gothic" w:hAnsi="Century Gothic"/>
          <w:sz w:val="20"/>
        </w:rPr>
        <w:t>– Apollo Tyres har bekräftat att nya Vredestein Quatrac Pro EV, som blir Europas första elbilsdäck för året-runt-användning när det börjar säljas i december, kommer att ha en rad nya, avancerade egenskaper vad gäller design och material. Däcket har utvecklats särskilt för användning året runt på batteridrivna elfordon och hybrider och har skapats för att ge större räckvidd samtidigt som det ger överlägset grepp och dragkraft under alla förhållanden – inklusive is och snö.</w:t>
      </w:r>
    </w:p>
    <w:p w14:paraId="4AA859EC" w14:textId="77777777" w:rsidR="00CD3861" w:rsidRDefault="00CD3861" w:rsidP="00193BFC">
      <w:pPr>
        <w:rPr>
          <w:rFonts w:ascii="Century Gothic" w:hAnsi="Century Gothic" w:cs="Clother Light"/>
          <w:sz w:val="20"/>
          <w:szCs w:val="20"/>
        </w:rPr>
      </w:pPr>
    </w:p>
    <w:p w14:paraId="58910E82" w14:textId="1B0FDBA8" w:rsidR="00207D17" w:rsidRDefault="00015E05" w:rsidP="00193BFC">
      <w:pPr>
        <w:rPr>
          <w:rFonts w:ascii="Century Gothic" w:hAnsi="Century Gothic" w:cs="Clother Light"/>
          <w:sz w:val="20"/>
          <w:szCs w:val="20"/>
        </w:rPr>
      </w:pPr>
      <w:r>
        <w:rPr>
          <w:rFonts w:ascii="Century Gothic" w:hAnsi="Century Gothic"/>
          <w:sz w:val="20"/>
        </w:rPr>
        <w:t xml:space="preserve">Det nya elbilsdäcket har jämförts med det aktuella utbudet av prisbelönta året-runt-däck från Vredestein. Apollo Tyres datorsimuleringar och testprogram i verkligheten bekräftar att det nya elbilsdäcket ger överlägset grepp, underlättar ökad räckvidd tack vare det lägre rullmotståndet och den lättare konstruktionen, har en lägre miljöpåverkan, orsakar mindre buller, en tystare och bekvämare körning samt minskar bromssträckan.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Dessutom har Vredestein Quatrac Pro EV konstruerats så att mindre CO2 genereras under produktionen, vilket bidrar till ett minskat avtryck under hela livslängden. Det nya däcket kommer att tillverkas på Apollo Tyres två europeiska produktionsanläggningar i Enschede i Nederländerna och Gyöngyöshalász i Ungern.</w:t>
      </w:r>
    </w:p>
    <w:p w14:paraId="153F7740" w14:textId="77777777" w:rsidR="00BB4381" w:rsidRDefault="00BB4381" w:rsidP="00193BFC">
      <w:pPr>
        <w:rPr>
          <w:rFonts w:ascii="Century Gothic" w:hAnsi="Century Gothic" w:cs="Clother Light"/>
          <w:sz w:val="20"/>
          <w:szCs w:val="20"/>
        </w:rPr>
      </w:pPr>
    </w:p>
    <w:p w14:paraId="1601D59F" w14:textId="2DCEBB8E" w:rsidR="00334BB2" w:rsidRDefault="006116BB" w:rsidP="00193BFC">
      <w:pPr>
        <w:rPr>
          <w:rFonts w:ascii="Century Gothic" w:hAnsi="Century Gothic" w:cs="Clother Light"/>
          <w:sz w:val="20"/>
          <w:szCs w:val="20"/>
        </w:rPr>
      </w:pPr>
      <w:r>
        <w:rPr>
          <w:rFonts w:ascii="Century Gothic" w:hAnsi="Century Gothic"/>
          <w:sz w:val="20"/>
        </w:rPr>
        <w:t>Det nya elbilsdäckets prestanda i alla väder är certifierat enligt högsta branschstandard för ett året-runt-däck, vilket gör att det får ha symbolen ”alptopp/snöflinga” på sidoväggen, vilket bekräftar dess lämplighet under vinterförhållanden.</w:t>
      </w:r>
    </w:p>
    <w:p w14:paraId="7340D95C" w14:textId="77777777" w:rsidR="00334BB2" w:rsidRDefault="00334BB2" w:rsidP="00193BFC">
      <w:pPr>
        <w:rPr>
          <w:rFonts w:ascii="Century Gothic" w:hAnsi="Century Gothic" w:cs="Clother Light"/>
          <w:sz w:val="20"/>
          <w:szCs w:val="20"/>
        </w:rPr>
      </w:pPr>
    </w:p>
    <w:p w14:paraId="5D07B11C" w14:textId="411EC8CB" w:rsidR="00BB4381" w:rsidRDefault="00FF045B" w:rsidP="00BB4381">
      <w:pPr>
        <w:rPr>
          <w:rFonts w:ascii="Century Gothic" w:hAnsi="Century Gothic" w:cs="Clother Light"/>
          <w:sz w:val="20"/>
          <w:szCs w:val="20"/>
        </w:rPr>
      </w:pPr>
      <w:r>
        <w:rPr>
          <w:rFonts w:ascii="Century Gothic" w:hAnsi="Century Gothic"/>
          <w:sz w:val="20"/>
        </w:rPr>
        <w:t>Bland nyheterna i Quatrac Pro EV kan nämnas en optimerad blandning av fjärde generationens polymerer och ”smart” kisel i slitbanan, vilken maximerar greppet på vått underlag samtidigt som den ger lågt rullmotstånd. För att minska energiförbrukningen vid körning är däckets konstruktion betydligt lättare tack vare de tunnare sidoväggarna, lägre apex och lättare bältmaterial.</w:t>
      </w:r>
    </w:p>
    <w:p w14:paraId="02F081A3" w14:textId="77777777" w:rsidR="00C262C3" w:rsidRPr="00D204C1" w:rsidRDefault="00C262C3" w:rsidP="00BB4381">
      <w:pPr>
        <w:rPr>
          <w:rFonts w:ascii="Century Gothic" w:hAnsi="Century Gothic" w:cs="Clother Light"/>
          <w:sz w:val="20"/>
          <w:szCs w:val="20"/>
        </w:rPr>
      </w:pPr>
    </w:p>
    <w:p w14:paraId="412AA956" w14:textId="557D0E03" w:rsidR="00BB4381" w:rsidRPr="00D204C1" w:rsidRDefault="00091D47" w:rsidP="00BB4381">
      <w:pPr>
        <w:rPr>
          <w:rFonts w:ascii="Century Gothic" w:hAnsi="Century Gothic" w:cs="Clother Light"/>
          <w:sz w:val="20"/>
          <w:szCs w:val="20"/>
        </w:rPr>
      </w:pPr>
      <w:r>
        <w:rPr>
          <w:rFonts w:ascii="Century Gothic" w:hAnsi="Century Gothic"/>
          <w:sz w:val="20"/>
        </w:rPr>
        <w:t xml:space="preserve">Det nya elbilsdäcket kommer att ha ett antal nya designegenskaper som är specifika för elbilsdäck. Bland annat längsgående spår med mycket brantare flanker som motverkar högre kurvtagningsbelastning och en yttre skuldra som är bredare än den inre skuldran för att motstå deformering och förbättra väghållningen på torra och våta underlag. </w:t>
      </w:r>
    </w:p>
    <w:p w14:paraId="37D993A7" w14:textId="77777777" w:rsidR="001228BC" w:rsidRDefault="001228BC" w:rsidP="0064300F">
      <w:pPr>
        <w:rPr>
          <w:rFonts w:ascii="Century Gothic" w:hAnsi="Century Gothic" w:cs="Clother Light"/>
          <w:sz w:val="20"/>
          <w:szCs w:val="20"/>
        </w:rPr>
      </w:pPr>
    </w:p>
    <w:p w14:paraId="4855AA6F" w14:textId="11524873" w:rsidR="004769D9" w:rsidRDefault="004769D9" w:rsidP="0064300F">
      <w:pPr>
        <w:rPr>
          <w:rFonts w:ascii="Century Gothic" w:hAnsi="Century Gothic" w:cs="Clother Light"/>
          <w:sz w:val="20"/>
          <w:szCs w:val="20"/>
        </w:rPr>
      </w:pPr>
      <w:r>
        <w:rPr>
          <w:rFonts w:ascii="Century Gothic" w:hAnsi="Century Gothic"/>
          <w:sz w:val="20"/>
        </w:rPr>
        <w:t>Mer information om Vredestein Quatrac Pro EV-däck – inklusive prestandadata och tillgängliga mått – bekräftas före lanseringen.</w:t>
      </w:r>
    </w:p>
    <w:p w14:paraId="35969BB0" w14:textId="77777777" w:rsidR="004769D9" w:rsidRDefault="004769D9"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Året-runt-pionjärer</w:t>
      </w:r>
    </w:p>
    <w:p w14:paraId="49FA6BB5" w14:textId="66B60E33" w:rsidR="00134315" w:rsidRPr="00134315" w:rsidRDefault="00134315" w:rsidP="00134315">
      <w:pPr>
        <w:rPr>
          <w:rFonts w:ascii="Century Gothic" w:hAnsi="Century Gothic" w:cs="Clother Light"/>
          <w:sz w:val="20"/>
          <w:szCs w:val="20"/>
        </w:rPr>
      </w:pPr>
      <w:r>
        <w:rPr>
          <w:rFonts w:ascii="Century Gothic" w:hAnsi="Century Gothic"/>
          <w:sz w:val="20"/>
        </w:rPr>
        <w:t>Vredesteins premiumdäckmärke har legat i framkant på året-runt-marknaden sedan starten i början av 1990-talet. Apollo Tyres fortsätter att utnyttja sina kunskaper inom vinter- och sommardäck för att producera prisbelönta året-runt-produkter som behåller premiumprestanda oavsett förhållanden. Den expertisen inom året-runt-däck används nu till att öka innovationsnivån för elbilsdäckssegmentet.</w:t>
      </w: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För mer information kan du kontakta:</w:t>
      </w: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är en internationell däcktillverkare och det ledande däckmärket i Indien. Företaget har flera tillverkningsanläggningar i Indien och en enhet i både Nederländerna och Ungern. Företaget marknadsför sina produkter under två globala varumärken – Apollo och Vredestein – och dess produkter är tillgängliga i över 100 länder via ett omfattande nätverk av märkesbutiker samt exklusiva och allmänna försäljningsställen.</w:t>
      </w:r>
    </w:p>
    <w:sectPr w:rsidR="005C5C2E" w:rsidRPr="003D1723"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D024" w14:textId="77777777" w:rsidR="005D1765" w:rsidRDefault="005D1765" w:rsidP="005C5C2E">
      <w:r>
        <w:separator/>
      </w:r>
    </w:p>
  </w:endnote>
  <w:endnote w:type="continuationSeparator" w:id="0">
    <w:p w14:paraId="1502F4B7" w14:textId="77777777" w:rsidR="005D1765" w:rsidRDefault="005D1765" w:rsidP="005C5C2E">
      <w:r>
        <w:continuationSeparator/>
      </w:r>
    </w:p>
  </w:endnote>
  <w:endnote w:type="continuationNotice" w:id="1">
    <w:p w14:paraId="2A18DA0B" w14:textId="77777777" w:rsidR="005D1765" w:rsidRDefault="005D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B182" w14:textId="77777777" w:rsidR="005D1765" w:rsidRDefault="005D1765" w:rsidP="005C5C2E">
      <w:r>
        <w:separator/>
      </w:r>
    </w:p>
  </w:footnote>
  <w:footnote w:type="continuationSeparator" w:id="0">
    <w:p w14:paraId="726C0A27" w14:textId="77777777" w:rsidR="005D1765" w:rsidRDefault="005D1765" w:rsidP="005C5C2E">
      <w:r>
        <w:continuationSeparator/>
      </w:r>
    </w:p>
  </w:footnote>
  <w:footnote w:type="continuationNotice" w:id="1">
    <w:p w14:paraId="4BEECF0E" w14:textId="77777777" w:rsidR="005D1765" w:rsidRDefault="005D1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Pressmeddelande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7B28"/>
    <w:rsid w:val="0002004F"/>
    <w:rsid w:val="000238DE"/>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37200"/>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300F"/>
    <w:rsid w:val="006440BF"/>
    <w:rsid w:val="00644E95"/>
    <w:rsid w:val="00645BC9"/>
    <w:rsid w:val="00646B61"/>
    <w:rsid w:val="00651796"/>
    <w:rsid w:val="006561D6"/>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7EF"/>
    <w:rsid w:val="007722F5"/>
    <w:rsid w:val="00772576"/>
    <w:rsid w:val="007740A3"/>
    <w:rsid w:val="00774562"/>
    <w:rsid w:val="00774FE9"/>
    <w:rsid w:val="007753F4"/>
    <w:rsid w:val="00776A24"/>
    <w:rsid w:val="00777B1A"/>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15020"/>
    <w:rsid w:val="008210A9"/>
    <w:rsid w:val="008238AA"/>
    <w:rsid w:val="00823E0A"/>
    <w:rsid w:val="008269DB"/>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15F"/>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5AB4"/>
    <w:rsid w:val="00FA6D31"/>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sv-S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v-S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v-S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v-S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v-S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sv-S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3.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2022-08-25T00:27:00Z</cp:lastPrinted>
  <dcterms:created xsi:type="dcterms:W3CDTF">2022-11-02T09:10:00Z</dcterms:created>
  <dcterms:modified xsi:type="dcterms:W3CDTF">2022-11-02T09:10:00Z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