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000B065" w:rsidR="00933CD0" w:rsidRDefault="003D6459">
      <w:pPr>
        <w:rPr>
          <w:rFonts w:ascii="Century Gothic" w:hAnsi="Century Gothic" w:cs="Clother Black"/>
          <w:b/>
          <w:bCs/>
          <w:sz w:val="32"/>
          <w:szCs w:val="32"/>
        </w:rPr>
      </w:pPr>
      <w:bookmarkStart w:id="0" w:name="_Hlk75431152"/>
      <w:r>
        <w:rPr>
          <w:rFonts w:ascii="Century Gothic" w:hAnsi="Century Gothic"/>
          <w:b/>
          <w:sz w:val="32"/>
        </w:rPr>
        <w:t>Prelomová celoročná pneumatika Vredestein pre elektromobily (EV) udáva nové štandardy, pokiaľ ide o priľnavosť, účinnosť, hluk a vplyv na životné prostredie</w:t>
      </w:r>
    </w:p>
    <w:p w14:paraId="496FA135" w14:textId="77777777" w:rsidR="00A815E6" w:rsidRPr="00A815E6" w:rsidRDefault="00A815E6" w:rsidP="00A815E6">
      <w:pPr>
        <w:rPr>
          <w:rFonts w:ascii="Century Gothic" w:hAnsi="Century Gothic" w:cs="Clother Light"/>
          <w:i/>
          <w:iCs/>
          <w:sz w:val="20"/>
          <w:szCs w:val="20"/>
        </w:rPr>
      </w:pPr>
    </w:p>
    <w:p w14:paraId="0AA4F511" w14:textId="0A705786"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Vredestein Quatrac Pro EV je prvou celoročnou pneumatikou pre EV v Európe</w:t>
      </w:r>
    </w:p>
    <w:p w14:paraId="0E017726" w14:textId="1F374857" w:rsidR="002F61D4" w:rsidRDefault="0015628C" w:rsidP="002F61D4">
      <w:pPr>
        <w:pStyle w:val="ListParagraph"/>
        <w:numPr>
          <w:ilvl w:val="0"/>
          <w:numId w:val="1"/>
        </w:numPr>
        <w:rPr>
          <w:rFonts w:ascii="Century Gothic" w:hAnsi="Century Gothic" w:cs="Clother Light"/>
          <w:i/>
          <w:iCs/>
          <w:sz w:val="20"/>
          <w:szCs w:val="20"/>
        </w:rPr>
      </w:pPr>
      <w:r>
        <w:rPr>
          <w:rFonts w:ascii="Century Gothic" w:hAnsi="Century Gothic"/>
          <w:i/>
          <w:sz w:val="20"/>
        </w:rPr>
        <w:t>Tuhšia konštrukcia a asymetrický dizajn dezénu pomáhajú zvládať vyššiu hmotnosť elektromobilov</w:t>
      </w:r>
    </w:p>
    <w:p w14:paraId="4D12EA08" w14:textId="1CC53255" w:rsidR="00B710B7"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Valivý odpor je o 15 % nižší ako u najvýkonnejšej ekvivalentnej pneumatiky tejto značky neurčenej pre EV, čím sa zvyšuje dojazd EV</w:t>
      </w:r>
    </w:p>
    <w:p w14:paraId="2DE8275D" w14:textId="28715528" w:rsidR="00215E81" w:rsidRDefault="003E57C3" w:rsidP="006C7281">
      <w:pPr>
        <w:pStyle w:val="ListParagraph"/>
        <w:numPr>
          <w:ilvl w:val="0"/>
          <w:numId w:val="1"/>
        </w:numPr>
        <w:rPr>
          <w:rFonts w:ascii="Century Gothic" w:hAnsi="Century Gothic" w:cs="Clother Light"/>
          <w:i/>
          <w:iCs/>
          <w:sz w:val="20"/>
          <w:szCs w:val="20"/>
        </w:rPr>
      </w:pPr>
      <w:r>
        <w:rPr>
          <w:rFonts w:ascii="Century Gothic" w:hAnsi="Century Gothic"/>
          <w:i/>
          <w:sz w:val="20"/>
        </w:rPr>
        <w:t>Zabezpečuje vynikajúcu stabilitu pri zatáčaní a zlepšuje výkon pri manévrovaní o 6 %</w:t>
      </w:r>
    </w:p>
    <w:p w14:paraId="000BCDFD" w14:textId="2D4CE896" w:rsidR="00544CD5" w:rsidRPr="00064208" w:rsidRDefault="0005442E"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Prvá vyrobená celoročná pneumatika s certifikáciou značky „vysoké zaťaženie“ (High Load – HL) </w:t>
      </w:r>
      <w:r>
        <w:rPr>
          <w:rFonts w:ascii="Century Gothic" w:hAnsi="Century Gothic"/>
          <w:sz w:val="20"/>
        </w:rPr>
        <w:t>(variant 255/40 R 20)</w:t>
      </w:r>
      <w:r>
        <w:rPr>
          <w:rFonts w:ascii="Century Gothic" w:hAnsi="Century Gothic"/>
          <w:i/>
          <w:sz w:val="20"/>
        </w:rPr>
        <w:t>; poukazuje na vhodnosť pre veľké celoelektrické automobily a SUV</w:t>
      </w:r>
    </w:p>
    <w:p w14:paraId="5F3DF535" w14:textId="6D8AE2BB" w:rsidR="00295EBD" w:rsidRPr="00064208" w:rsidRDefault="005C77B7" w:rsidP="00295EBD">
      <w:pPr>
        <w:pStyle w:val="ListParagraph"/>
        <w:numPr>
          <w:ilvl w:val="0"/>
          <w:numId w:val="1"/>
        </w:numPr>
        <w:rPr>
          <w:rFonts w:ascii="Century Gothic" w:hAnsi="Century Gothic" w:cs="Clother Light"/>
          <w:i/>
          <w:iCs/>
          <w:sz w:val="20"/>
          <w:szCs w:val="20"/>
        </w:rPr>
      </w:pPr>
      <w:r>
        <w:rPr>
          <w:rFonts w:ascii="Century Gothic" w:hAnsi="Century Gothic"/>
          <w:i/>
          <w:sz w:val="20"/>
        </w:rPr>
        <w:t>Poskytuje prvotriedne manévrovanie za každého počasia: o 4 % lepšie brzdenie na suchom povrchu plus certifikácia „Three Peak Mountain Snowflake“ pre jazdu na ľade a snehu</w:t>
      </w:r>
    </w:p>
    <w:p w14:paraId="3491FA59" w14:textId="147D3865" w:rsidR="00295EBD" w:rsidRPr="00064208" w:rsidRDefault="00317BF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O 5 % lepší jazdný komfort vďaka ľahkej konštrukcii a „flexibilnej zóne“ v bočnej stene </w:t>
      </w:r>
    </w:p>
    <w:p w14:paraId="0163FC40" w14:textId="3FBCA526" w:rsidR="00317BF8" w:rsidRDefault="002833A1" w:rsidP="009F739B">
      <w:pPr>
        <w:pStyle w:val="ListParagraph"/>
        <w:numPr>
          <w:ilvl w:val="0"/>
          <w:numId w:val="1"/>
        </w:numPr>
        <w:rPr>
          <w:rFonts w:ascii="Century Gothic" w:hAnsi="Century Gothic" w:cs="Clother Light"/>
          <w:i/>
          <w:iCs/>
          <w:sz w:val="20"/>
          <w:szCs w:val="20"/>
        </w:rPr>
      </w:pPr>
      <w:r>
        <w:rPr>
          <w:rFonts w:ascii="Century Gothic" w:hAnsi="Century Gothic"/>
          <w:i/>
          <w:sz w:val="20"/>
        </w:rPr>
        <w:t>Merateľne tichšia vďaka postupnosti počtu dezénových blokov optimalizovanej umelou inteligenciou</w:t>
      </w:r>
    </w:p>
    <w:p w14:paraId="567FF891" w14:textId="14D0EBD5" w:rsidR="00064208" w:rsidRPr="00064208" w:rsidRDefault="0006420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V predaji od decembra; plný sortiment bude do leta 2023 zahŕňať rozsah 17 až 20 palcov</w:t>
      </w:r>
    </w:p>
    <w:p w14:paraId="28277868" w14:textId="77777777" w:rsidR="00E051C7" w:rsidRPr="00E051C7" w:rsidRDefault="00E051C7" w:rsidP="00E051C7">
      <w:pPr>
        <w:rPr>
          <w:rFonts w:ascii="Century Gothic" w:hAnsi="Century Gothic" w:cs="Clother Light"/>
          <w:sz w:val="20"/>
          <w:szCs w:val="20"/>
        </w:rPr>
      </w:pPr>
    </w:p>
    <w:p w14:paraId="235C3673" w14:textId="4C4BADC3" w:rsidR="00D87083" w:rsidRDefault="00162583" w:rsidP="000F13D3">
      <w:pPr>
        <w:rPr>
          <w:rFonts w:ascii="Century Gothic" w:hAnsi="Century Gothic" w:cs="Clother Light"/>
          <w:sz w:val="20"/>
          <w:szCs w:val="20"/>
        </w:rPr>
      </w:pPr>
      <w:r w:rsidRPr="00162583">
        <w:rPr>
          <w:rFonts w:ascii="Century Gothic" w:hAnsi="Century Gothic"/>
          <w:b/>
          <w:sz w:val="20"/>
        </w:rPr>
        <w:t>24</w:t>
      </w:r>
      <w:r w:rsidR="009B75D4" w:rsidRPr="00162583">
        <w:rPr>
          <w:rFonts w:ascii="Century Gothic" w:hAnsi="Century Gothic"/>
          <w:b/>
          <w:sz w:val="20"/>
        </w:rPr>
        <w:t> Novembra 2022</w:t>
      </w:r>
      <w:r w:rsidR="009B75D4" w:rsidRPr="00162583">
        <w:rPr>
          <w:rFonts w:ascii="Century Gothic" w:hAnsi="Century Gothic"/>
          <w:sz w:val="20"/>
        </w:rPr>
        <w:t xml:space="preserve"> </w:t>
      </w:r>
      <w:r w:rsidR="009B75D4">
        <w:rPr>
          <w:rFonts w:ascii="Century Gothic" w:hAnsi="Century Gothic"/>
          <w:sz w:val="20"/>
        </w:rPr>
        <w:t xml:space="preserve">– Spoločnosť Apollo Tyres dnes uviedla na trh Vredestein Quatrac Pro EV, prvú celoročnú pneumatiku v Európe ktorá bola vyvinutá špeciálne pre akumulátorové elektrické vozidlá a hybridné vozidlá. </w:t>
      </w:r>
    </w:p>
    <w:p w14:paraId="0D0D0ABB" w14:textId="77777777" w:rsidR="00D87083" w:rsidRDefault="00D87083" w:rsidP="000F13D3">
      <w:pPr>
        <w:rPr>
          <w:rFonts w:ascii="Century Gothic" w:hAnsi="Century Gothic" w:cs="Clother Light"/>
          <w:sz w:val="20"/>
          <w:szCs w:val="20"/>
        </w:rPr>
      </w:pPr>
    </w:p>
    <w:p w14:paraId="3BD4BA5A" w14:textId="5D9D6864" w:rsidR="001E3FE2" w:rsidRPr="000674A5" w:rsidRDefault="00494741" w:rsidP="001E3FE2">
      <w:pPr>
        <w:rPr>
          <w:rFonts w:ascii="Century Gothic" w:hAnsi="Century Gothic" w:cs="Clother Light"/>
          <w:sz w:val="20"/>
          <w:szCs w:val="20"/>
        </w:rPr>
      </w:pPr>
      <w:r>
        <w:rPr>
          <w:rFonts w:ascii="Century Gothic" w:hAnsi="Century Gothic"/>
          <w:sz w:val="20"/>
        </w:rPr>
        <w:t xml:space="preserve">V porovnaní etablovaným radom ocenených celoročných pneumatík Vredestein poskytuje model Vredestein Quatrac Pro EV špičkové manévrovanie a stabilitu, ponúka výrazne nižšiu úroveň valivého odporu a poskytuje tichšiu a pohodlnejšiu jazdu. Okrem toho má ľahšiu konštrukciu a menší vplyv na životné prostredie počas výroby. </w:t>
      </w:r>
    </w:p>
    <w:p w14:paraId="3A150A5D" w14:textId="77777777" w:rsidR="001E3FE2" w:rsidRDefault="001E3FE2" w:rsidP="00193BFC">
      <w:pPr>
        <w:rPr>
          <w:rFonts w:ascii="Century Gothic" w:hAnsi="Century Gothic" w:cs="Clother Light"/>
          <w:sz w:val="20"/>
          <w:szCs w:val="20"/>
        </w:rPr>
      </w:pPr>
    </w:p>
    <w:p w14:paraId="212345BC" w14:textId="623762B7" w:rsidR="00FA337A" w:rsidRPr="006D16A6" w:rsidRDefault="00FA337A" w:rsidP="00FA337A">
      <w:pPr>
        <w:rPr>
          <w:rFonts w:ascii="Century Gothic" w:hAnsi="Century Gothic" w:cs="Clother Light"/>
          <w:sz w:val="20"/>
          <w:szCs w:val="20"/>
        </w:rPr>
      </w:pPr>
      <w:r>
        <w:rPr>
          <w:rFonts w:ascii="Century Gothic" w:hAnsi="Century Gothic"/>
          <w:sz w:val="20"/>
        </w:rPr>
        <w:t xml:space="preserve">Tento úplne nový prémiový výrobok je k dispozícii prostredníctvom maloobchodníkov a distribútorov pneumatík od nasledujúceho mesiaca, pôvodne v siedmich veľkostiach pre 18- a 19- palcové ráfiky kolies a s 12 dodatočnými veľkosťami – vrátane 17- a 20-palcových možností – v ponuke od budúceho roka.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Nízky valivý odpor</w:t>
      </w:r>
    </w:p>
    <w:p w14:paraId="1D662FB2" w14:textId="1A626DDF" w:rsidR="001574D7" w:rsidRPr="00E869C3" w:rsidRDefault="00B874F1" w:rsidP="001574D7">
      <w:pPr>
        <w:rPr>
          <w:rFonts w:ascii="Century Gothic" w:hAnsi="Century Gothic" w:cs="Clother Light"/>
          <w:sz w:val="20"/>
          <w:szCs w:val="20"/>
        </w:rPr>
      </w:pPr>
      <w:r>
        <w:rPr>
          <w:rFonts w:ascii="Century Gothic" w:hAnsi="Century Gothic"/>
          <w:sz w:val="20"/>
        </w:rPr>
        <w:t xml:space="preserve">Na zabezpečenie toho, aby pneumatika prispievala k celkovej účinnosti vozidla, a na maximalizáciu dosiahnuteľného dojazdu sa vynaložilo značné úsilie v oblasti výskumu a vývoja. Valivý odpor je o 15 % nižší ako u najvýkonnejšej celoročnej pneumatiky Vredestein neurčenej pre EV vďaka dôkladne optimalizovanej kombinácii polymérov štvrtej generácie a „inteligentného“ oxidu kremičitého pre dezénovú zmes, vankúšik ráfika a kostru. Účinnosť vozidla sa zvyšuje aj hmotnostne nenáročnou konštrukciou pneumatiky, ktorá sa vyznačuje tenšími bočnými stenami, nižším vrcholom bočnej steny a ľahšími materiálmi pásu a medzigumy.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Pr>
          <w:rFonts w:ascii="Century Gothic" w:hAnsi="Century Gothic"/>
          <w:b/>
          <w:sz w:val="20"/>
        </w:rPr>
        <w:t>Manévrovanie a stabilita, ako sa patrí na vysokovýkonnú pneumatiku pre EV</w:t>
      </w:r>
    </w:p>
    <w:p w14:paraId="3D50FA29" w14:textId="117EA5AE" w:rsidR="00577779" w:rsidRDefault="00F83518" w:rsidP="00836539">
      <w:pPr>
        <w:rPr>
          <w:rFonts w:ascii="Century Gothic" w:hAnsi="Century Gothic" w:cs="Clother Light"/>
          <w:sz w:val="20"/>
          <w:szCs w:val="20"/>
        </w:rPr>
      </w:pPr>
      <w:r>
        <w:rPr>
          <w:rFonts w:ascii="Century Gothic" w:hAnsi="Century Gothic"/>
          <w:sz w:val="20"/>
        </w:rPr>
        <w:t>Rozsiahlym globálnym programom výskumu a vývoja sa u novej pneumatiky potvrdila špičková stabilita pri zatáčaní a zlepšenie výkonu pri manévrovaní o 6 % v porovnaní s jej celoročnými súrodencami – ideálne na zvládanie zvýšeného krútiaceho momentu a vyššej hmotnosti vozidla typických pre moderné EV. Manévrovacie vlastnosti Quatrac Pro EV zdokonaľujú nový asymetrický dizajn dezénu, tuhšie bloky dezénu a robustná konštrukcia.</w:t>
      </w:r>
    </w:p>
    <w:p w14:paraId="33C486AC" w14:textId="77777777" w:rsidR="00577779" w:rsidRDefault="00577779" w:rsidP="00836539">
      <w:pPr>
        <w:rPr>
          <w:rFonts w:ascii="Century Gothic" w:hAnsi="Century Gothic" w:cs="Clother Light"/>
          <w:sz w:val="20"/>
          <w:szCs w:val="20"/>
        </w:rPr>
      </w:pPr>
    </w:p>
    <w:p w14:paraId="75AC4425" w14:textId="68505B7B" w:rsidR="00326B4D" w:rsidRDefault="00577779" w:rsidP="00517872">
      <w:pPr>
        <w:rPr>
          <w:rFonts w:ascii="Century Gothic" w:hAnsi="Century Gothic" w:cs="Clother Light"/>
          <w:sz w:val="20"/>
          <w:szCs w:val="20"/>
        </w:rPr>
      </w:pPr>
      <w:r>
        <w:rPr>
          <w:rFonts w:ascii="Century Gothic" w:hAnsi="Century Gothic"/>
          <w:sz w:val="20"/>
        </w:rPr>
        <w:t xml:space="preserve">Zaviedli sa viaceré konštrukčné prvky, ktoré sú špeciálne určené na zvládanie väčšej hmotnosti EV a z nej vyplývajúceho zvýšeného zaťaženia, ktoré vytvárajú počas jazdy v zákrutách a zrýchľovania. Napríklad vonkajšie rameno novej pneumatiky je širšie ako vnútorné, aby odolalo laterálnej deformácii, a vonkajšie boky hlavných pozdĺžnych drážok sú omnoho strmšie, aby odolali skriveniu, keď rastú sily pri zatáčaní. </w:t>
      </w:r>
    </w:p>
    <w:p w14:paraId="7CC6339E" w14:textId="77777777" w:rsidR="00326B4D" w:rsidRDefault="00326B4D" w:rsidP="00517872">
      <w:pPr>
        <w:rPr>
          <w:rFonts w:ascii="Century Gothic" w:hAnsi="Century Gothic" w:cs="Clother Light"/>
          <w:sz w:val="20"/>
          <w:szCs w:val="20"/>
        </w:rPr>
      </w:pPr>
    </w:p>
    <w:p w14:paraId="232CEA46" w14:textId="1FCEF41B" w:rsidR="00517872" w:rsidRDefault="00D15DED" w:rsidP="00517872">
      <w:pPr>
        <w:rPr>
          <w:rFonts w:ascii="Century Gothic" w:hAnsi="Century Gothic" w:cs="Clother Light"/>
          <w:sz w:val="20"/>
          <w:szCs w:val="20"/>
        </w:rPr>
      </w:pPr>
      <w:r>
        <w:rPr>
          <w:rFonts w:ascii="Century Gothic" w:hAnsi="Century Gothic"/>
          <w:sz w:val="20"/>
        </w:rPr>
        <w:t>Schopnosť pneumatiky Quatrac Pro EV zvládať vyššiu hmotnosť vozidla je taká výrazná, že sa stala prvou vyrobenou celoročnou pneumatikou, ktorá získala certifikáciu značky HL, čo znamená pripravenosť na „vysoké zaťaženie“ (High Load) (variant 255/40 R 20). Tým sa potvrdzuje, že pneumatika je schopná uniesť o 10 % väčšiu hmotnosť ako zosilnená pneumatika na „mimoriadnu záťaž“ (Extra Load – XL) pri rovnakom tlaku.</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Certifikovaná celoročná použiteľnosť</w:t>
      </w:r>
    </w:p>
    <w:p w14:paraId="4B5ACB34" w14:textId="1D0D5026" w:rsidR="00DB555F" w:rsidRPr="004F56EE" w:rsidRDefault="005E3C95" w:rsidP="00DB555F">
      <w:pPr>
        <w:rPr>
          <w:rFonts w:ascii="Century Gothic" w:hAnsi="Century Gothic" w:cs="Clother Light"/>
          <w:sz w:val="20"/>
          <w:szCs w:val="20"/>
        </w:rPr>
      </w:pPr>
      <w:r>
        <w:rPr>
          <w:rFonts w:ascii="Century Gothic" w:hAnsi="Century Gothic"/>
          <w:sz w:val="20"/>
        </w:rPr>
        <w:t>Nová pneumatika pre EV má na bočnej stene symbol „Three Peak Mountain Snowflake“, ktorý potvrdzuje jej výkonnosť v každom počasí a jej použiteľnosť v zimných podmienkach. Lamely profilu sú hlbšie, ako by mohlo byť typické pre celoročné pneumatiky, aby sa umožnil kontrolovaný pohyb blokov dezénu na podporu priľnavosti a trakcie v snehu počas celej životnosti.</w:t>
      </w:r>
    </w:p>
    <w:p w14:paraId="0C65AF3C" w14:textId="75325830" w:rsidR="005E3C95" w:rsidRPr="00A059DE" w:rsidRDefault="005E3C95" w:rsidP="005E3C95">
      <w:pPr>
        <w:rPr>
          <w:rFonts w:ascii="Century Gothic" w:hAnsi="Century Gothic" w:cs="Clother Light"/>
          <w:sz w:val="20"/>
          <w:szCs w:val="20"/>
        </w:rPr>
      </w:pPr>
    </w:p>
    <w:p w14:paraId="1B2B6095" w14:textId="764F97C8" w:rsidR="005E3C95" w:rsidRDefault="00C52B70" w:rsidP="00836539">
      <w:pPr>
        <w:rPr>
          <w:rFonts w:ascii="Century Gothic" w:hAnsi="Century Gothic" w:cs="Clother Light"/>
          <w:sz w:val="20"/>
          <w:szCs w:val="20"/>
        </w:rPr>
      </w:pPr>
      <w:r>
        <w:rPr>
          <w:rFonts w:ascii="Century Gothic" w:hAnsi="Century Gothic"/>
          <w:sz w:val="20"/>
        </w:rPr>
        <w:t>Vysoký obsah oxidu kremičitého v dezéne v kombinácii s tuhšími blokmi a prepojenými „mostíkmi“ na ramenách spoločne umožňujú dosiahnuť vysokú úroveň brzdenia na mokrom a suchom povrchu – pri suchom povrchu boli namerané o 4 % lepšie hodnoty ako u ekvivalentnej celoročnej pneumatiky Vredestein neurčenej pre EV.</w:t>
      </w:r>
    </w:p>
    <w:p w14:paraId="48DB05F5" w14:textId="77777777" w:rsidR="00B815EB" w:rsidRDefault="00B815EB" w:rsidP="00836539">
      <w:pPr>
        <w:rPr>
          <w:rFonts w:ascii="Century Gothic" w:hAnsi="Century Gothic" w:cs="Clother Light"/>
          <w:sz w:val="20"/>
          <w:szCs w:val="20"/>
        </w:rPr>
      </w:pPr>
    </w:p>
    <w:p w14:paraId="7B33363F" w14:textId="34FB7C30"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Nízka hlučnosť, špičkové zdokonalenie jazdy </w:t>
      </w:r>
    </w:p>
    <w:p w14:paraId="615040A7" w14:textId="663FA664" w:rsidR="00E97C56" w:rsidRDefault="001B01BE" w:rsidP="00E14EB8">
      <w:pPr>
        <w:rPr>
          <w:rFonts w:ascii="Century Gothic" w:hAnsi="Century Gothic" w:cs="Clother Light"/>
          <w:sz w:val="20"/>
          <w:szCs w:val="20"/>
        </w:rPr>
      </w:pPr>
      <w:r>
        <w:rPr>
          <w:rFonts w:ascii="Century Gothic" w:hAnsi="Century Gothic"/>
          <w:sz w:val="20"/>
        </w:rPr>
        <w:t>Popri testovaní v teréne na najrôznejších povrchoch ciest tím spoločnosti Apollo Tyres pomocou počítačovej simulácie a akustického modelovania založeného na umelej inteligencii vybavil pneumatiku Quatrac Pro EV optimálnou postupnosťou „počtu dezénových blokov“ – opakujúci sa vzor dezénových blokov – ktoré vytvárajú menej nápadnú hlukovú záťaž pri rôznych rýchlostiach. Výsledkom je zníženie vonkajšieho hluku o 1 dB v porovnaní s vozidlom vybaveným ekvivalentnou celoročnou pneumatikou Vredestein neurčenou pre EV.</w:t>
      </w:r>
    </w:p>
    <w:p w14:paraId="036CB2F7" w14:textId="77777777" w:rsidR="00E97C56" w:rsidRDefault="00E97C56" w:rsidP="00E14EB8">
      <w:pPr>
        <w:rPr>
          <w:rFonts w:ascii="Century Gothic" w:hAnsi="Century Gothic" w:cs="Clother Light"/>
          <w:sz w:val="20"/>
          <w:szCs w:val="20"/>
        </w:rPr>
      </w:pPr>
    </w:p>
    <w:p w14:paraId="5BCFA1E4" w14:textId="7921215B" w:rsidR="00E14EB8" w:rsidRPr="00E14EB8" w:rsidRDefault="00E97C56" w:rsidP="00532796">
      <w:pPr>
        <w:rPr>
          <w:rFonts w:ascii="Century Gothic" w:hAnsi="Century Gothic" w:cs="Clother Light"/>
          <w:sz w:val="20"/>
          <w:szCs w:val="20"/>
        </w:rPr>
      </w:pPr>
      <w:r>
        <w:rPr>
          <w:rFonts w:ascii="Century Gothic" w:hAnsi="Century Gothic"/>
          <w:sz w:val="20"/>
        </w:rPr>
        <w:t>Okrem toho pneumatika poskytuje o 5 % lepšie pohodlie pri jazde vďaka ľahšej konštrukcii a „flexibilnej zóne“ v bočnej stene, čím zabezpečuje vysoký stupeň prirodzeného súladu na najrôznejších nekvalitných povrchoch ciest.</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Štruktúra pneumatiky navrhnutá tak, aby sa minimalizoval vplyv na životné prostredie</w:t>
      </w:r>
    </w:p>
    <w:p w14:paraId="0F1DFF80" w14:textId="3E1AEC51" w:rsidR="00D00983" w:rsidRPr="00001A31" w:rsidRDefault="00F04090" w:rsidP="00D00983">
      <w:pPr>
        <w:rPr>
          <w:rFonts w:ascii="Century Gothic" w:hAnsi="Century Gothic" w:cs="Clother Light"/>
          <w:sz w:val="20"/>
          <w:szCs w:val="20"/>
        </w:rPr>
      </w:pPr>
      <w:r>
        <w:rPr>
          <w:rFonts w:ascii="Century Gothic" w:hAnsi="Century Gothic"/>
          <w:sz w:val="20"/>
        </w:rPr>
        <w:t>Pri navrhovaní pneumatiky Vredestein Quatrac Pro EV divízia spoločnosti Apollo Tyres pre výskum a vývoj zohľadňovala požadovanú energiu, ako aj uhlík, ktorý by sa počas výroby emitoval. Nová pneumatika Quatrac Pro EV, štandardizovaná podľa bežných celoročných pneumatík, má o 17 % nižší vplyv na životné prostredie (meraný ako potenciál globálneho otepľovania CO2) – čo prispieva k zníženiu uhlíkovej stopy počas životného cyklu.</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t>Pneumatika Quatrac Pro EV sa vyrába vo dvoch európskych výrobných závodoch spoločnosti Apollo Tyres v Enschede v Holandsku a v meste Gyöngyöshalász v Maďarsku.</w:t>
      </w:r>
    </w:p>
    <w:p w14:paraId="35225C19" w14:textId="77777777" w:rsidR="00DD7B6D" w:rsidRDefault="00DD7B6D"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Priekopníci v oblasti celoročných pneumatík</w:t>
      </w:r>
    </w:p>
    <w:p w14:paraId="49FA6BB5" w14:textId="45B91660" w:rsidR="00134315" w:rsidRDefault="002164BB" w:rsidP="00134315">
      <w:pPr>
        <w:rPr>
          <w:rFonts w:ascii="Century Gothic" w:hAnsi="Century Gothic" w:cs="Clother Light"/>
          <w:sz w:val="20"/>
          <w:szCs w:val="20"/>
        </w:rPr>
      </w:pPr>
      <w:r>
        <w:rPr>
          <w:rFonts w:ascii="Century Gothic" w:hAnsi="Century Gothic"/>
          <w:sz w:val="20"/>
        </w:rPr>
        <w:t xml:space="preserve">Značka prémiových pneumatík Vredestein, založená v roku 1909, je už od svojho uvedenia na trh začiatkom 90-tych rokov lídrom v oblasti celoročných riešení. Spoločnosť Apollo Tyres využíva svoje rozsiahle znalosti zimných a letných pneumatík a vyrába špičkové celoročné produkty, ktoré si zachovávajú prvotriedne výkonové kapacity bez ohľadu na podmienky. </w:t>
      </w:r>
    </w:p>
    <w:p w14:paraId="1B7F3360" w14:textId="77777777" w:rsidR="00F7466A" w:rsidRDefault="00F7466A" w:rsidP="00134315">
      <w:pPr>
        <w:rPr>
          <w:rFonts w:ascii="Century Gothic" w:hAnsi="Century Gothic" w:cs="Clother Light"/>
          <w:sz w:val="20"/>
          <w:szCs w:val="20"/>
        </w:rPr>
      </w:pPr>
    </w:p>
    <w:p w14:paraId="51C592A8" w14:textId="2CDCCF20" w:rsidR="006875A7" w:rsidRDefault="00F7466A" w:rsidP="00134315">
      <w:pPr>
        <w:rPr>
          <w:rFonts w:ascii="Century Gothic" w:hAnsi="Century Gothic" w:cs="Clother Light"/>
          <w:sz w:val="20"/>
          <w:szCs w:val="20"/>
        </w:rPr>
      </w:pPr>
      <w:r>
        <w:rPr>
          <w:rFonts w:ascii="Century Gothic" w:hAnsi="Century Gothic"/>
          <w:sz w:val="20"/>
        </w:rPr>
        <w:t xml:space="preserve">„Quatrac Pro EV je pre nás strategicky dôležitým výrobkom z troch kľúčových dôvodov,“ vysvetľuje </w:t>
      </w:r>
      <w:r>
        <w:rPr>
          <w:rStyle w:val="normaltextrun"/>
          <w:rFonts w:ascii="Century Gothic" w:hAnsi="Century Gothic"/>
          <w:color w:val="000000"/>
          <w:sz w:val="20"/>
          <w:shd w:val="clear" w:color="auto" w:fill="FFFFFF"/>
        </w:rPr>
        <w:t xml:space="preserve">Daniele Lorenzetti, technologický riaditeľ v spoločnosti Apollo Tyres. „Po prvé, motoristi </w:t>
      </w:r>
      <w:r>
        <w:rPr>
          <w:rFonts w:ascii="Century Gothic" w:hAnsi="Century Gothic"/>
          <w:sz w:val="20"/>
        </w:rPr>
        <w:t>v stále väčšom počte prechádzajú na elektrifikovanú mobilitu a výrobcovia automobilov, ako aj spotrebitelia hľadajú pneumatiky skonštruované tak, aby vyhovovali špecifickým charakteristikám a dynamickým vlastnostiam EV. Okrem toho je segment celoročných pneumatík najrýchlejšie rastúcim segmentom, takže je logické, aby sme aj naďalej diverzifikovali sortiment výrobkov značky Vredestein, ktoré sú určené na celoročné použitie. Nakoniec je potrebné uviesť, že žiadna iná spoločnosť nemá dedičstvo celoročných riešení, ktoré by sa vyrovnalo značke Vredestein – bol to segment, v ktorom sme boli priekopníkmi, a je len prirodzené, že znova zaujímame vedúce postavenie tým, že vyrábame prvú celoročnú pneumatiku pre EV v Európe.“</w:t>
      </w:r>
    </w:p>
    <w:p w14:paraId="1FAC8DB6" w14:textId="77777777" w:rsidR="006875A7" w:rsidRDefault="006875A7" w:rsidP="00134315">
      <w:pPr>
        <w:rPr>
          <w:rFonts w:ascii="Century Gothic" w:hAnsi="Century Gothic" w:cs="Clother Light"/>
          <w:sz w:val="20"/>
          <w:szCs w:val="20"/>
        </w:rPr>
      </w:pP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[KONIEC]</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Ďalšie podrobnosti vám poskytne:</w:t>
      </w:r>
    </w:p>
    <w:p w14:paraId="5EFD3D22" w14:textId="4A407A51" w:rsidR="00775628" w:rsidRPr="00162583" w:rsidRDefault="00162583" w:rsidP="00775628">
      <w:pPr>
        <w:widowControl w:val="0"/>
        <w:autoSpaceDE w:val="0"/>
        <w:autoSpaceDN w:val="0"/>
        <w:adjustRightInd w:val="0"/>
        <w:spacing w:line="288" w:lineRule="auto"/>
        <w:textAlignment w:val="center"/>
        <w:rPr>
          <w:rFonts w:ascii="Century Gothic" w:hAnsi="Century Gothic"/>
          <w:bCs/>
          <w:sz w:val="16"/>
        </w:rPr>
      </w:pPr>
      <w:r w:rsidRPr="00162583">
        <w:rPr>
          <w:rFonts w:ascii="Century Gothic" w:hAnsi="Century Gothic"/>
          <w:bCs/>
          <w:sz w:val="16"/>
        </w:rPr>
        <w:t>Molly Prout</w:t>
      </w:r>
    </w:p>
    <w:p w14:paraId="143FC2D4" w14:textId="14A39986" w:rsidR="00162583" w:rsidRPr="00162583" w:rsidRDefault="00162583" w:rsidP="00775628">
      <w:pPr>
        <w:widowControl w:val="0"/>
        <w:autoSpaceDE w:val="0"/>
        <w:autoSpaceDN w:val="0"/>
        <w:adjustRightInd w:val="0"/>
        <w:spacing w:line="288" w:lineRule="auto"/>
        <w:textAlignment w:val="center"/>
        <w:rPr>
          <w:rFonts w:ascii="Century Gothic" w:hAnsi="Century Gothic"/>
          <w:bCs/>
          <w:sz w:val="16"/>
        </w:rPr>
      </w:pPr>
      <w:r w:rsidRPr="00162583">
        <w:rPr>
          <w:rFonts w:ascii="Century Gothic" w:hAnsi="Century Gothic"/>
          <w:bCs/>
          <w:sz w:val="16"/>
        </w:rPr>
        <w:t>PFPR Communications</w:t>
      </w:r>
    </w:p>
    <w:p w14:paraId="79AB9B53" w14:textId="7FF92EC5" w:rsidR="00162583" w:rsidRPr="00162583" w:rsidRDefault="00162583" w:rsidP="00775628">
      <w:pPr>
        <w:widowControl w:val="0"/>
        <w:autoSpaceDE w:val="0"/>
        <w:autoSpaceDN w:val="0"/>
        <w:adjustRightInd w:val="0"/>
        <w:spacing w:line="288" w:lineRule="auto"/>
        <w:textAlignment w:val="center"/>
        <w:rPr>
          <w:rFonts w:ascii="Century Gothic" w:hAnsi="Century Gothic" w:cs="Clother Light"/>
          <w:bCs/>
          <w:sz w:val="16"/>
          <w:szCs w:val="16"/>
        </w:rPr>
      </w:pPr>
      <w:r w:rsidRPr="00162583">
        <w:rPr>
          <w:rFonts w:ascii="Century Gothic" w:hAnsi="Century Gothic"/>
          <w:bCs/>
          <w:sz w:val="16"/>
        </w:rPr>
        <w:t>Molly.prout@pfpr.com</w:t>
      </w:r>
    </w:p>
    <w:p w14:paraId="29BAC79A" w14:textId="5232C7A2" w:rsidR="006C5EE5" w:rsidRPr="006C5EE5" w:rsidRDefault="006C5EE5" w:rsidP="002723E7">
      <w:pPr>
        <w:widowControl w:val="0"/>
        <w:autoSpaceDE w:val="0"/>
        <w:autoSpaceDN w:val="0"/>
        <w:adjustRightInd w:val="0"/>
        <w:spacing w:line="288" w:lineRule="auto"/>
        <w:textAlignment w:val="center"/>
        <w:rPr>
          <w:rFonts w:ascii="Century Gothic" w:hAnsi="Century Gothic" w:cs="Clother Light"/>
          <w:sz w:val="16"/>
          <w:szCs w:val="16"/>
        </w:rPr>
      </w:pP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Informácie o spoločnosti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Spoločnosť Apollo Tyres Ltd je medzinárodný výrobca pneumatík a popredná značka pneumatík v Indii. Spoločnosť má viacero výrobných závodov v Indii a jednu prevádzku v Holandsku a Maďarsku. Spoločnosť predáva svoje produkty pod dvoma globálnymi značkami – Apollo a Vredestein – a jej produkty sú k dispozícii vo vyše 100 krajinách prostredníctvom rozsiahlej siete značkových, exkluzívnych a multiproduktových predajní.</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6279" w14:textId="77777777" w:rsidR="00A2111C" w:rsidRDefault="00A2111C" w:rsidP="005C5C2E">
      <w:r>
        <w:separator/>
      </w:r>
    </w:p>
  </w:endnote>
  <w:endnote w:type="continuationSeparator" w:id="0">
    <w:p w14:paraId="1F15FF18" w14:textId="77777777" w:rsidR="00A2111C" w:rsidRDefault="00A2111C" w:rsidP="005C5C2E">
      <w:r>
        <w:continuationSeparator/>
      </w:r>
    </w:p>
  </w:endnote>
  <w:endnote w:type="continuationNotice" w:id="1">
    <w:p w14:paraId="43515182" w14:textId="77777777" w:rsidR="00A2111C" w:rsidRDefault="00A2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40C6" w14:textId="77777777" w:rsidR="00A2111C" w:rsidRDefault="00A2111C" w:rsidP="005C5C2E">
      <w:r>
        <w:separator/>
      </w:r>
    </w:p>
  </w:footnote>
  <w:footnote w:type="continuationSeparator" w:id="0">
    <w:p w14:paraId="06096AB7" w14:textId="77777777" w:rsidR="00A2111C" w:rsidRDefault="00A2111C" w:rsidP="005C5C2E">
      <w:r>
        <w:continuationSeparator/>
      </w:r>
    </w:p>
  </w:footnote>
  <w:footnote w:type="continuationNotice" w:id="1">
    <w:p w14:paraId="352FF83A" w14:textId="77777777" w:rsidR="00A2111C" w:rsidRDefault="00A21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Mediálna správa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2583"/>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4402"/>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k-S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k-S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k-S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k-S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k-S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k-S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C38A5-D4B0-4BFA-87E7-A6C286C1541C}">
  <ds:schemaRefs>
    <ds:schemaRef ds:uri="http://schemas.microsoft.com/office/2006/documentManagement/types"/>
    <ds:schemaRef ds:uri="http://purl.org/dc/elements/1.1/"/>
    <ds:schemaRef ds:uri="http://schemas.microsoft.com/office/2006/metadata/properties"/>
    <ds:schemaRef ds:uri="c8da104e-6a1d-4b01-a720-a1e29024104e"/>
    <ds:schemaRef ds:uri="http://schemas.openxmlformats.org/package/2006/metadata/core-properties"/>
    <ds:schemaRef ds:uri="http://purl.org/dc/terms/"/>
    <ds:schemaRef ds:uri="http://schemas.microsoft.com/office/infopath/2007/PartnerControls"/>
    <ds:schemaRef ds:uri="eeb064f5-b91f-4532-bc93-5a06de940d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2022-08-25T00:27:00Z</cp:lastPrinted>
  <dcterms:created xsi:type="dcterms:W3CDTF">2022-11-23T15:51:00Z</dcterms:created>
  <dcterms:modified xsi:type="dcterms:W3CDTF">2022-11-23T15:52:00Z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